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5" w:rsidRPr="005D71DD" w:rsidRDefault="007114B9" w:rsidP="008E31B8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</w:t>
      </w:r>
      <w:proofErr w:type="gramStart"/>
      <w:r w:rsidR="00B2727D">
        <w:t>,2</w:t>
      </w:r>
      <w:proofErr w:type="gramEnd"/>
      <w:r w:rsidR="00B2727D">
        <w:t>-naphthoquinone</w:t>
      </w:r>
      <w:r w:rsidR="001819C4">
        <w:t xml:space="preserve">-induced </w:t>
      </w:r>
      <w:proofErr w:type="spellStart"/>
      <w:r w:rsidR="001819C4">
        <w:t>cytotoxicity</w:t>
      </w:r>
      <w:proofErr w:type="spellEnd"/>
      <w:r w:rsidR="001819C4">
        <w:t xml:space="preserve">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8E31B8">
      <w:pPr>
        <w:pStyle w:val="20033"/>
        <w:spacing w:line="320" w:lineRule="exact"/>
      </w:pPr>
      <w:r>
        <w:rPr>
          <w:rFonts w:hint="eastAsia"/>
        </w:rPr>
        <w:t>◯</w:t>
      </w:r>
      <w:r w:rsidR="00AE6777">
        <w:t xml:space="preserve">Taro </w:t>
      </w:r>
      <w:r w:rsidR="00FE3CDF">
        <w:rPr>
          <w:rFonts w:hint="eastAsia"/>
        </w:rPr>
        <w:t>Nagasaki</w:t>
      </w:r>
      <w:r w:rsidR="00AE6777" w:rsidRPr="00D80330">
        <w:rPr>
          <w:vertAlign w:val="superscript"/>
        </w:rPr>
        <w:t>1</w:t>
      </w:r>
      <w:r w:rsidR="00AE6777">
        <w:rPr>
          <w:rFonts w:hint="eastAsia"/>
        </w:rPr>
        <w:t xml:space="preserve">, </w:t>
      </w:r>
      <w:proofErr w:type="spellStart"/>
      <w:r w:rsidR="00AE6777">
        <w:t>Hanako</w:t>
      </w:r>
      <w:proofErr w:type="spellEnd"/>
      <w:r w:rsidR="00AE6777">
        <w:t xml:space="preserve"> Iyaku</w:t>
      </w:r>
      <w:r w:rsidR="00AE6777" w:rsidRPr="00D80330">
        <w:rPr>
          <w:vertAlign w:val="superscript"/>
        </w:rPr>
        <w:t>1</w:t>
      </w:r>
      <w:r w:rsidR="00AE6777">
        <w:rPr>
          <w:rFonts w:hint="eastAsia"/>
        </w:rPr>
        <w:t xml:space="preserve">, </w:t>
      </w:r>
      <w:r w:rsidR="00AE6777">
        <w:t>John May</w:t>
      </w:r>
      <w:r w:rsidR="00AE6777" w:rsidRPr="00D80330">
        <w:rPr>
          <w:vertAlign w:val="superscript"/>
        </w:rPr>
        <w:t>2</w:t>
      </w:r>
      <w:r w:rsidR="00AE6777" w:rsidRPr="005D71DD">
        <w:t xml:space="preserve"> (</w:t>
      </w:r>
      <w:r w:rsidR="00AE6777" w:rsidRPr="00E8232F">
        <w:rPr>
          <w:vertAlign w:val="superscript"/>
        </w:rPr>
        <w:t>1</w:t>
      </w:r>
      <w:r w:rsidR="00AE6777">
        <w:rPr>
          <w:rFonts w:hint="eastAsia"/>
        </w:rPr>
        <w:t>Fac</w:t>
      </w:r>
      <w:r w:rsidR="00AE6777">
        <w:t>.</w:t>
      </w:r>
      <w:r w:rsidR="00AE6777">
        <w:rPr>
          <w:rFonts w:hint="eastAsia"/>
        </w:rPr>
        <w:t xml:space="preserve"> </w:t>
      </w:r>
      <w:proofErr w:type="spellStart"/>
      <w:proofErr w:type="gramStart"/>
      <w:r w:rsidR="00AE6777">
        <w:rPr>
          <w:rFonts w:hint="eastAsia"/>
        </w:rPr>
        <w:t>Pharmaceut</w:t>
      </w:r>
      <w:proofErr w:type="spellEnd"/>
      <w:r w:rsidR="00AE6777">
        <w:rPr>
          <w:rFonts w:hint="eastAsia"/>
        </w:rPr>
        <w:t>.</w:t>
      </w:r>
      <w:proofErr w:type="gramEnd"/>
      <w:r w:rsidR="00AE6777">
        <w:rPr>
          <w:rFonts w:hint="eastAsia"/>
        </w:rPr>
        <w:t xml:space="preserve"> </w:t>
      </w:r>
      <w:proofErr w:type="gramStart"/>
      <w:r w:rsidR="00AE6777">
        <w:rPr>
          <w:rFonts w:hint="eastAsia"/>
        </w:rPr>
        <w:t xml:space="preserve">Sci., </w:t>
      </w:r>
      <w:r w:rsidR="00FE3CDF">
        <w:rPr>
          <w:rFonts w:hint="eastAsia"/>
        </w:rPr>
        <w:t>Nagasaki</w:t>
      </w:r>
      <w:r w:rsidR="00AE6777" w:rsidRPr="005A0816">
        <w:t xml:space="preserve"> </w:t>
      </w:r>
      <w:r w:rsidR="00FE3CDF">
        <w:rPr>
          <w:rFonts w:hint="eastAsia"/>
        </w:rPr>
        <w:t xml:space="preserve">International </w:t>
      </w:r>
      <w:r w:rsidR="00AE6777">
        <w:t xml:space="preserve">Univ., </w:t>
      </w:r>
      <w:r w:rsidR="00AE6777" w:rsidRPr="00E8232F">
        <w:rPr>
          <w:vertAlign w:val="superscript"/>
        </w:rPr>
        <w:t>2</w:t>
      </w:r>
      <w:r w:rsidR="00AE6777">
        <w:t>Grad.</w:t>
      </w:r>
      <w:proofErr w:type="gramEnd"/>
      <w:r w:rsidR="00AE6777">
        <w:t xml:space="preserve"> Sch. </w:t>
      </w:r>
      <w:proofErr w:type="spellStart"/>
      <w:r w:rsidR="00AE6777">
        <w:t>Pharmaceut</w:t>
      </w:r>
      <w:proofErr w:type="spellEnd"/>
      <w:r w:rsidR="00AE6777">
        <w:t xml:space="preserve">. Sci., </w:t>
      </w:r>
      <w:proofErr w:type="spellStart"/>
      <w:r w:rsidR="00FE3CDF" w:rsidRPr="00FE3CDF">
        <w:t>Huis</w:t>
      </w:r>
      <w:proofErr w:type="spellEnd"/>
      <w:r w:rsidR="00FE3CDF" w:rsidRPr="00FE3CDF">
        <w:t xml:space="preserve"> Ten Bosch </w:t>
      </w:r>
      <w:r w:rsidR="00FE3CDF">
        <w:rPr>
          <w:rFonts w:hint="eastAsia"/>
        </w:rPr>
        <w:t>Un</w:t>
      </w:r>
      <w:r w:rsidR="00AE6777">
        <w:t>iv.</w:t>
      </w:r>
      <w:r w:rsidR="00AE6777" w:rsidRPr="005D71DD">
        <w:t>)</w:t>
      </w:r>
    </w:p>
    <w:p w:rsidR="00EB1771" w:rsidRDefault="00927841" w:rsidP="008E31B8">
      <w:pPr>
        <w:spacing w:line="320" w:lineRule="exact"/>
        <w:ind w:right="38" w:firstLine="240"/>
        <w:jc w:val="left"/>
      </w:pPr>
      <w:r>
        <w:t>1</w:t>
      </w:r>
      <w:proofErr w:type="gramStart"/>
      <w:r>
        <w:t>,2</w:t>
      </w:r>
      <w:proofErr w:type="gramEnd"/>
      <w:r w:rsidR="001819C4">
        <w:t>-naphthoquinone is an at</w:t>
      </w:r>
      <w:r w:rsidR="00E76878">
        <w:t xml:space="preserve">mospheric </w:t>
      </w:r>
      <w:proofErr w:type="spellStart"/>
      <w:r w:rsidR="00E76878">
        <w:t>electrophile</w:t>
      </w:r>
      <w:proofErr w:type="spellEnd"/>
      <w:r w:rsidR="00E76878">
        <w:t>--------</w:t>
      </w:r>
      <w:r w:rsidR="00005E2D">
        <w:t>---------------</w:t>
      </w:r>
      <w:r w:rsidR="00EB1771">
        <w:t>-------------------------------</w:t>
      </w:r>
    </w:p>
    <w:p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25" w:rsidRDefault="00532525" w:rsidP="00F56155">
      <w:r>
        <w:separator/>
      </w:r>
    </w:p>
  </w:endnote>
  <w:endnote w:type="continuationSeparator" w:id="0">
    <w:p w:rsidR="00532525" w:rsidRDefault="00532525" w:rsidP="00F5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25" w:rsidRDefault="00532525" w:rsidP="00F56155">
      <w:r>
        <w:separator/>
      </w:r>
    </w:p>
  </w:footnote>
  <w:footnote w:type="continuationSeparator" w:id="0">
    <w:p w:rsidR="00532525" w:rsidRDefault="00532525" w:rsidP="00F56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701"/>
  <w:doNotTrackMoves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5A87"/>
    <w:rsid w:val="00005E2D"/>
    <w:rsid w:val="00101423"/>
    <w:rsid w:val="0013461A"/>
    <w:rsid w:val="001819C4"/>
    <w:rsid w:val="00285F0D"/>
    <w:rsid w:val="002E17A9"/>
    <w:rsid w:val="003E7408"/>
    <w:rsid w:val="003F5A87"/>
    <w:rsid w:val="00416F34"/>
    <w:rsid w:val="00532525"/>
    <w:rsid w:val="0060497A"/>
    <w:rsid w:val="00604FC9"/>
    <w:rsid w:val="00610756"/>
    <w:rsid w:val="007114B9"/>
    <w:rsid w:val="007B06EA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43C15"/>
    <w:rsid w:val="00E76878"/>
    <w:rsid w:val="00EB1771"/>
    <w:rsid w:val="00F04A6E"/>
    <w:rsid w:val="00F137BF"/>
    <w:rsid w:val="00F42582"/>
    <w:rsid w:val="00F56155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yuya deguchi</cp:lastModifiedBy>
  <cp:revision>3</cp:revision>
  <cp:lastPrinted>2016-04-27T04:55:00Z</cp:lastPrinted>
  <dcterms:created xsi:type="dcterms:W3CDTF">2018-04-24T11:31:00Z</dcterms:created>
  <dcterms:modified xsi:type="dcterms:W3CDTF">2018-04-24T11:35:00Z</dcterms:modified>
</cp:coreProperties>
</file>